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?????" w:hAnsi="?????" w:cs="?????"/>
          <w:b/>
          <w:bCs/>
          <w:color w:val="FF0000"/>
          <w:sz w:val="76"/>
          <w:szCs w:val="76"/>
        </w:rPr>
      </w:pPr>
      <w:r>
        <w:rPr>
          <w:rFonts w:hint="eastAsia" w:ascii="宋体" w:hAnsi="宋体" w:cs="宋体"/>
          <w:b/>
          <w:bCs/>
          <w:color w:val="FF0000"/>
          <w:w w:val="90"/>
          <w:sz w:val="84"/>
          <w:szCs w:val="84"/>
        </w:rPr>
        <w:t>中国总会计师协会文件</w:t>
      </w:r>
    </w:p>
    <w:p>
      <w:pPr>
        <w:spacing w:beforeLines="30" w:line="400" w:lineRule="exact"/>
        <w:jc w:val="center"/>
        <w:rPr>
          <w:rFonts w:ascii="??_GB2312" w:eastAsia="Times New Roman"/>
          <w:sz w:val="28"/>
          <w:szCs w:val="28"/>
        </w:rPr>
      </w:pPr>
    </w:p>
    <w:p>
      <w:pPr>
        <w:spacing w:line="460" w:lineRule="exact"/>
        <w:ind w:firstLine="31680" w:firstLineChars="200"/>
        <w:jc w:val="center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zh-CN"/>
        </w:rPr>
        <w:t>中总秘〔</w:t>
      </w:r>
      <w:r>
        <w:rPr>
          <w:rFonts w:ascii="仿宋" w:hAnsi="仿宋" w:eastAsia="仿宋" w:cs="仿宋"/>
          <w:sz w:val="30"/>
          <w:szCs w:val="30"/>
          <w:lang w:val="zh-CN"/>
        </w:rPr>
        <w:t>2017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〕</w:t>
      </w:r>
      <w:r>
        <w:rPr>
          <w:rFonts w:ascii="仿宋" w:hAnsi="仿宋" w:eastAsia="仿宋" w:cs="仿宋"/>
          <w:sz w:val="30"/>
          <w:szCs w:val="30"/>
        </w:rPr>
        <w:t>52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号</w:t>
      </w:r>
    </w:p>
    <w:p>
      <w:pPr>
        <w:spacing w:line="500" w:lineRule="exact"/>
        <w:ind w:right="31680" w:rightChars="-7"/>
        <w:jc w:val="center"/>
        <w:rPr>
          <w:rFonts w:ascii="黑体" w:hAnsi="黑体" w:eastAsia="黑体" w:cs="黑体"/>
          <w:bCs/>
          <w:kern w:val="10"/>
          <w:sz w:val="44"/>
          <w:szCs w:val="44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line id="直线 14" o:spid="_x0000_s1026" style="position:absolute;left:0;margin-left:-4.45pt;margin-top:10.2pt;height:0.05pt;width:431.95pt;rotation:0f;z-index:251658240;" o:ole="f" fillcolor="#FFFFFF" filled="f" o:preferrelative="t" stroked="t" coordsize="21600,21600">
            <v:fill on="f" color2="#FFFFFF" focus="0%"/>
            <v:stroke weight="1.5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spacing w:line="500" w:lineRule="exact"/>
        <w:ind w:left="31680" w:right="31680" w:rightChars="-7" w:hangingChars="49" w:firstLine="31680"/>
        <w:jc w:val="center"/>
        <w:rPr>
          <w:rFonts w:ascii="宋体" w:cs="黑体"/>
          <w:b/>
          <w:bCs/>
          <w:kern w:val="10"/>
          <w:sz w:val="36"/>
          <w:szCs w:val="36"/>
        </w:rPr>
      </w:pPr>
      <w:r>
        <w:rPr>
          <w:rFonts w:hint="eastAsia" w:ascii="宋体" w:cs="黑体"/>
          <w:b/>
          <w:bCs/>
          <w:kern w:val="10"/>
          <w:sz w:val="36"/>
          <w:szCs w:val="36"/>
        </w:rPr>
        <w:t>关于举办“集团财务管控、税务风险管理与税务管理信息化建设”培训班的通知</w:t>
      </w:r>
    </w:p>
    <w:p>
      <w:pPr>
        <w:spacing w:line="380" w:lineRule="exact"/>
        <w:ind w:right="31680" w:rightChars="-7"/>
        <w:jc w:val="center"/>
        <w:rPr>
          <w:rFonts w:ascii="宋体" w:cs="黑体"/>
          <w:b/>
          <w:bCs/>
          <w:kern w:val="10"/>
          <w:sz w:val="36"/>
          <w:szCs w:val="36"/>
        </w:rPr>
      </w:pPr>
    </w:p>
    <w:p>
      <w:pPr>
        <w:spacing w:line="4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各地方总会计师协会（研究会），各分会；各会员单位，各企事业及有关单位：</w:t>
      </w:r>
    </w:p>
    <w:p>
      <w:pPr>
        <w:spacing w:line="420" w:lineRule="exact"/>
        <w:ind w:firstLine="31680" w:firstLineChars="200"/>
        <w:rPr>
          <w:rFonts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zh-CN"/>
        </w:rPr>
        <w:t>随着经济转型升级和供给侧结构性改革的不断推进，对集团财务提出了越来越大的挑战。加强集团财务管控，大力发展管理会计体系，强化业财融合来重构有效的、引领价值创造的集团财务管控体系，成为当前大型集团财务工作转型深化的关键。同时，会计准则的变动</w:t>
      </w:r>
      <w:r>
        <w:rPr>
          <w:rFonts w:hint="eastAsia" w:ascii="仿宋" w:hAnsi="仿宋" w:eastAsia="仿宋" w:cs="仿宋"/>
          <w:sz w:val="30"/>
          <w:szCs w:val="30"/>
        </w:rPr>
        <w:t>和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营改增的不断深化，给集团税务管理带来更加复杂的挑战。集团税务风险如何管控，如何使用信息化手段加强集团税务管理，也是集团财务负责人亟待解决的问题。</w:t>
      </w:r>
    </w:p>
    <w:p>
      <w:pPr>
        <w:spacing w:line="420" w:lineRule="exact"/>
        <w:ind w:firstLine="3168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为帮助集团提升转型时代的财务管控能力和税务管理水平，中国总会计师协会特举办“转型时代的集团财务管控、税务风险管理与税务管理信息化建设”专题培训班。</w:t>
      </w:r>
    </w:p>
    <w:p>
      <w:pPr>
        <w:spacing w:line="420" w:lineRule="exact"/>
        <w:ind w:firstLine="3168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现将培训方案予以印发，请各单位积极做好相关人员的组织和报名工作。</w:t>
      </w:r>
    </w:p>
    <w:p>
      <w:pPr>
        <w:spacing w:line="400" w:lineRule="exact"/>
        <w:ind w:firstLine="3168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  <w:r>
        <w:rPr>
          <w:rFonts w:ascii="仿宋" w:hAnsi="仿宋" w:eastAsia="仿宋" w:cs="仿宋"/>
          <w:sz w:val="30"/>
          <w:szCs w:val="30"/>
        </w:rPr>
        <w:t xml:space="preserve">  1.</w:t>
      </w:r>
      <w:r>
        <w:rPr>
          <w:rFonts w:hint="eastAsia" w:ascii="仿宋" w:hAnsi="仿宋" w:eastAsia="仿宋" w:cs="仿宋"/>
          <w:sz w:val="30"/>
          <w:szCs w:val="30"/>
        </w:rPr>
        <w:t>培训班工作方案</w:t>
      </w:r>
    </w:p>
    <w:p>
      <w:pPr>
        <w:numPr>
          <w:ilvl w:val="0"/>
          <w:numId w:val="1"/>
        </w:numPr>
        <w:spacing w:line="400" w:lineRule="exact"/>
        <w:ind w:firstLine="3168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培训班报名回执表</w:t>
      </w:r>
    </w:p>
    <w:p>
      <w:pPr>
        <w:spacing w:line="4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42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中国总会计师协会秘书处</w:t>
      </w:r>
    </w:p>
    <w:p>
      <w:pPr>
        <w:snapToGrid w:val="0"/>
        <w:spacing w:line="42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ascii="仿宋" w:hAnsi="仿宋" w:eastAsia="仿宋" w:cs="仿宋"/>
          <w:sz w:val="32"/>
          <w:szCs w:val="32"/>
        </w:rPr>
        <w:t>O</w:t>
      </w:r>
      <w:r>
        <w:rPr>
          <w:rFonts w:hint="eastAsia" w:ascii="仿宋" w:hAnsi="仿宋" w:eastAsia="仿宋" w:cs="仿宋"/>
          <w:sz w:val="32"/>
          <w:szCs w:val="32"/>
        </w:rPr>
        <w:t>一七年九月十四日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460" w:lineRule="exact"/>
        <w:ind w:left="1" w:right="31680" w:rightChars="-7"/>
        <w:jc w:val="center"/>
        <w:rPr>
          <w:rFonts w:ascii="仿宋" w:hAnsi="仿宋" w:eastAsia="仿宋" w:cs="黑体"/>
          <w:bCs/>
          <w:kern w:val="10"/>
          <w:sz w:val="32"/>
          <w:szCs w:val="32"/>
        </w:rPr>
      </w:pPr>
      <w:r>
        <w:rPr>
          <w:rFonts w:hint="eastAsia" w:ascii="仿宋" w:hAnsi="仿宋" w:eastAsia="仿宋" w:cs="黑体"/>
          <w:bCs/>
          <w:kern w:val="10"/>
          <w:sz w:val="32"/>
          <w:szCs w:val="32"/>
        </w:rPr>
        <w:t>专题培训班工作方案</w:t>
      </w:r>
    </w:p>
    <w:p>
      <w:pPr>
        <w:spacing w:beforeLines="150" w:line="4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主办单位：中国总会计师协会</w:t>
      </w:r>
    </w:p>
    <w:p>
      <w:pPr>
        <w:spacing w:afterLines="50" w:line="4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承办单位：《中国总会计师》杂志社</w:t>
      </w:r>
    </w:p>
    <w:p>
      <w:pPr>
        <w:widowControl/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一、时间地点</w:t>
      </w:r>
    </w:p>
    <w:p>
      <w:pPr>
        <w:spacing w:line="460" w:lineRule="exact"/>
        <w:ind w:firstLine="31680" w:firstLineChars="200"/>
        <w:rPr>
          <w:rFonts w:ascii="仿宋" w:hAnsi="仿宋" w:eastAsia="仿宋" w:cs="黑体"/>
          <w:bCs/>
          <w:kern w:val="10"/>
          <w:sz w:val="30"/>
          <w:szCs w:val="30"/>
        </w:rPr>
      </w:pPr>
      <w:r>
        <w:rPr>
          <w:rFonts w:hint="eastAsia" w:ascii="仿宋" w:hAnsi="仿宋" w:eastAsia="仿宋" w:cs="黑体"/>
          <w:bCs/>
          <w:kern w:val="10"/>
          <w:sz w:val="30"/>
          <w:szCs w:val="30"/>
        </w:rPr>
        <w:t>时间：</w:t>
      </w:r>
      <w:r>
        <w:rPr>
          <w:rFonts w:ascii="仿宋" w:hAnsi="仿宋" w:eastAsia="仿宋" w:cs="黑体"/>
          <w:bCs/>
          <w:kern w:val="10"/>
          <w:sz w:val="30"/>
          <w:szCs w:val="30"/>
        </w:rPr>
        <w:t>2017</w:t>
      </w:r>
      <w:r>
        <w:rPr>
          <w:rFonts w:hint="eastAsia" w:ascii="仿宋" w:hAnsi="仿宋" w:eastAsia="仿宋" w:cs="黑体"/>
          <w:bCs/>
          <w:kern w:val="10"/>
          <w:sz w:val="30"/>
          <w:szCs w:val="30"/>
        </w:rPr>
        <w:t>年</w:t>
      </w:r>
      <w:r>
        <w:rPr>
          <w:rFonts w:ascii="仿宋" w:hAnsi="仿宋" w:eastAsia="仿宋" w:cs="黑体"/>
          <w:bCs/>
          <w:kern w:val="10"/>
          <w:sz w:val="30"/>
          <w:szCs w:val="30"/>
        </w:rPr>
        <w:t>11</w:t>
      </w:r>
      <w:r>
        <w:rPr>
          <w:rFonts w:hint="eastAsia" w:ascii="仿宋" w:hAnsi="仿宋" w:eastAsia="仿宋" w:cs="黑体"/>
          <w:bCs/>
          <w:kern w:val="10"/>
          <w:sz w:val="30"/>
          <w:szCs w:val="30"/>
        </w:rPr>
        <w:t>月</w:t>
      </w:r>
      <w:r>
        <w:rPr>
          <w:rFonts w:ascii="仿宋" w:hAnsi="仿宋" w:eastAsia="仿宋" w:cs="黑体"/>
          <w:bCs/>
          <w:kern w:val="10"/>
          <w:sz w:val="30"/>
          <w:szCs w:val="30"/>
        </w:rPr>
        <w:t>17</w:t>
      </w:r>
      <w:r>
        <w:rPr>
          <w:rFonts w:hint="eastAsia" w:ascii="仿宋" w:hAnsi="仿宋" w:eastAsia="仿宋" w:cs="黑体"/>
          <w:bCs/>
          <w:kern w:val="10"/>
          <w:sz w:val="30"/>
          <w:szCs w:val="30"/>
        </w:rPr>
        <w:t>日</w:t>
      </w:r>
      <w:r>
        <w:rPr>
          <w:rFonts w:ascii="仿宋" w:hAnsi="仿宋" w:eastAsia="仿宋" w:cs="黑体"/>
          <w:bCs/>
          <w:kern w:val="10"/>
          <w:sz w:val="30"/>
          <w:szCs w:val="30"/>
        </w:rPr>
        <w:t>—21</w:t>
      </w:r>
      <w:r>
        <w:rPr>
          <w:rFonts w:hint="eastAsia" w:ascii="仿宋" w:hAnsi="仿宋" w:eastAsia="仿宋" w:cs="黑体"/>
          <w:bCs/>
          <w:kern w:val="10"/>
          <w:sz w:val="30"/>
          <w:szCs w:val="30"/>
        </w:rPr>
        <w:t>日</w:t>
      </w:r>
    </w:p>
    <w:p>
      <w:pPr>
        <w:spacing w:line="460" w:lineRule="exact"/>
        <w:rPr>
          <w:rFonts w:ascii="仿宋" w:hAnsi="仿宋" w:eastAsia="仿宋" w:cs="黑体"/>
          <w:bCs/>
          <w:kern w:val="10"/>
          <w:sz w:val="30"/>
          <w:szCs w:val="30"/>
        </w:rPr>
      </w:pPr>
      <w:r>
        <w:rPr>
          <w:rFonts w:ascii="仿宋" w:hAnsi="仿宋" w:eastAsia="仿宋" w:cs="黑体"/>
          <w:bCs/>
          <w:kern w:val="10"/>
          <w:sz w:val="30"/>
          <w:szCs w:val="30"/>
        </w:rPr>
        <w:t xml:space="preserve">    </w:t>
      </w:r>
      <w:r>
        <w:rPr>
          <w:rFonts w:hint="eastAsia" w:ascii="仿宋" w:hAnsi="仿宋" w:eastAsia="仿宋" w:cs="黑体"/>
          <w:bCs/>
          <w:kern w:val="10"/>
          <w:sz w:val="30"/>
          <w:szCs w:val="30"/>
        </w:rPr>
        <w:t>地点：珠海</w:t>
      </w:r>
    </w:p>
    <w:p>
      <w:pPr>
        <w:spacing w:line="4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（培训具体地址开班前一周见报到通知）</w:t>
      </w:r>
    </w:p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二、参会对象</w:t>
      </w:r>
    </w:p>
    <w:p>
      <w:pPr>
        <w:spacing w:line="460" w:lineRule="exact"/>
        <w:ind w:firstLine="31680" w:firstLineChars="198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企事业单位的负责人、总会计师、财务总监、首席财务官、司库、财务经理、财务主管、会计人员等；税务总监、税务经理等中高级管理人员、税务部门（税务岗位）的专业人员；信息化负责人、人力资源部门负责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；投资分析与研究人员等；金融行业金融分析师、风险控制师；大中专院校会计专业教师；财务、税务、法律等中介机构相关人员；管理会计信息化相关应用软件提供机构人员；需要加强会计知识学习和提升的各单位的主要负责人等。</w:t>
      </w:r>
    </w:p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三、培训内容</w:t>
      </w:r>
    </w:p>
    <w:p>
      <w:pPr>
        <w:spacing w:line="460" w:lineRule="exact"/>
        <w:ind w:firstLine="31680" w:firstLineChars="198"/>
        <w:jc w:val="left"/>
        <w:rPr>
          <w:rFonts w:ascii="仿宋" w:hAnsi="仿宋" w:eastAsia="仿宋" w:cs="黑体"/>
          <w:b/>
          <w:kern w:val="1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专题一、转型时代的</w:t>
      </w:r>
      <w:r>
        <w:rPr>
          <w:rFonts w:hint="eastAsia" w:ascii="仿宋" w:hAnsi="仿宋" w:eastAsia="仿宋" w:cs="黑体"/>
          <w:b/>
          <w:kern w:val="10"/>
          <w:sz w:val="32"/>
          <w:szCs w:val="32"/>
        </w:rPr>
        <w:t>集团财务管控与优化</w:t>
      </w:r>
    </w:p>
    <w:p>
      <w:pPr>
        <w:spacing w:line="460" w:lineRule="exact"/>
        <w:ind w:firstLine="31680" w:firstLineChars="198"/>
        <w:jc w:val="left"/>
        <w:rPr>
          <w:rFonts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集团财务管控思路与转型方向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（二）集团管控：财务、战略、业务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（三）集团核算、制度、检查、内审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（四）集团预算、考核与报告系统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（五）集团财务信息系统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（六）集团资金、资产、投融资、成本、费用等管控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（七）集团公司内部交易设计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（八）集团财务管控体系的实施策略</w:t>
      </w:r>
    </w:p>
    <w:p>
      <w:pPr>
        <w:spacing w:line="460" w:lineRule="exact"/>
        <w:ind w:firstLine="31680" w:firstLineChars="198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（九）转型时代下的财务组织职能与角色转换</w:t>
      </w:r>
    </w:p>
    <w:p>
      <w:pPr>
        <w:pStyle w:val="10"/>
        <w:spacing w:before="0" w:beforeAutospacing="0" w:after="0" w:afterAutospacing="0" w:line="480" w:lineRule="exact"/>
        <w:ind w:firstLine="31680" w:firstLineChars="200"/>
        <w:rPr>
          <w:rFonts w:ascii="仿宋" w:hAnsi="仿宋" w:eastAsia="仿宋" w:cs="仿宋"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（十）业财融合，</w:t>
      </w:r>
      <w:r>
        <w:rPr>
          <w:rFonts w:hint="eastAsia" w:ascii="仿宋" w:hAnsi="仿宋" w:eastAsia="仿宋" w:cs="仿宋"/>
          <w:bCs/>
          <w:kern w:val="2"/>
          <w:sz w:val="30"/>
          <w:szCs w:val="30"/>
        </w:rPr>
        <w:t>从“管控型”走向“价值引领型”</w:t>
      </w:r>
    </w:p>
    <w:p>
      <w:pPr>
        <w:spacing w:line="4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60" w:lineRule="exact"/>
        <w:jc w:val="left"/>
        <w:rPr>
          <w:rFonts w:ascii="仿宋" w:hAnsi="仿宋" w:eastAsia="仿宋" w:cs="黑体"/>
          <w:bCs/>
          <w:kern w:val="1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专题二、</w:t>
      </w:r>
      <w:r>
        <w:rPr>
          <w:rFonts w:hint="eastAsia" w:ascii="仿宋" w:hAnsi="仿宋" w:eastAsia="仿宋" w:cs="黑体"/>
          <w:b/>
          <w:bCs/>
          <w:kern w:val="10"/>
          <w:sz w:val="32"/>
          <w:szCs w:val="32"/>
        </w:rPr>
        <w:t>集团税务风险管理与税务管理信息化建设</w:t>
      </w:r>
    </w:p>
    <w:p>
      <w:pPr>
        <w:spacing w:line="46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黑体"/>
          <w:bCs/>
          <w:kern w:val="1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0"/>
          <w:szCs w:val="30"/>
        </w:rPr>
        <w:t>（一）集团税务管理当前热点问题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（二）如何建立集团税务管控体系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（三）税法刚性在信息化社会如何体现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（四）集团财务与税务风险管控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（五）后营改增时代的集团涉税风险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（六）税务管理信息化</w:t>
      </w:r>
      <w:r>
        <w:rPr>
          <w:rFonts w:ascii="仿宋" w:hAnsi="仿宋" w:eastAsia="仿宋" w:cs="仿宋"/>
          <w:bCs/>
          <w:sz w:val="30"/>
          <w:szCs w:val="30"/>
        </w:rPr>
        <w:t>:</w:t>
      </w:r>
      <w:r>
        <w:rPr>
          <w:rFonts w:hint="eastAsia" w:ascii="仿宋" w:hAnsi="仿宋" w:eastAsia="仿宋" w:cs="仿宋"/>
          <w:bCs/>
          <w:sz w:val="30"/>
          <w:szCs w:val="30"/>
        </w:rPr>
        <w:t>质量、效益、价值创造</w:t>
      </w:r>
    </w:p>
    <w:p>
      <w:pPr>
        <w:spacing w:line="460" w:lineRule="exact"/>
        <w:ind w:firstLine="3168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（七）税务管控整体落地实施方案</w:t>
      </w:r>
    </w:p>
    <w:p>
      <w:pPr>
        <w:spacing w:line="460" w:lineRule="exact"/>
        <w:rPr>
          <w:rFonts w:ascii="仿宋_GB2312" w:hAnsi="宋体" w:eastAsia="仿宋_GB2312" w:cs="仿宋"/>
          <w:sz w:val="30"/>
          <w:szCs w:val="30"/>
        </w:rPr>
      </w:pPr>
    </w:p>
    <w:p>
      <w:pPr>
        <w:widowControl/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四、师资力量</w:t>
      </w:r>
    </w:p>
    <w:p>
      <w:pPr>
        <w:snapToGrid w:val="0"/>
        <w:spacing w:line="460" w:lineRule="exact"/>
        <w:ind w:firstLine="31680" w:firstLineChars="198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政府机关、学院、企业界等具有深厚理论功底和丰富实践经验的专家和教授组成。</w:t>
      </w:r>
    </w:p>
    <w:p>
      <w:pPr>
        <w:spacing w:line="460" w:lineRule="exact"/>
        <w:ind w:firstLine="601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五、培训费用</w:t>
      </w:r>
    </w:p>
    <w:p>
      <w:pPr>
        <w:snapToGrid w:val="0"/>
        <w:spacing w:line="460" w:lineRule="exact"/>
        <w:ind w:firstLine="31680" w:firstLineChars="198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收费标准：每期</w:t>
      </w:r>
      <w:r>
        <w:rPr>
          <w:rFonts w:ascii="仿宋" w:hAnsi="仿宋" w:eastAsia="仿宋" w:cs="仿宋"/>
          <w:sz w:val="30"/>
          <w:szCs w:val="30"/>
        </w:rPr>
        <w:t>2900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人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包括专家授课费、资料费、教学场租设备费等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。培训期间用餐和住宿统一安排，费用自理；往返交通等费用自理。</w:t>
      </w:r>
    </w:p>
    <w:p>
      <w:pPr>
        <w:spacing w:line="460" w:lineRule="exact"/>
        <w:ind w:firstLine="601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六、培训证书</w:t>
      </w:r>
    </w:p>
    <w:p>
      <w:pPr>
        <w:snapToGrid w:val="0"/>
        <w:spacing w:line="460" w:lineRule="exact"/>
        <w:ind w:firstLine="31680" w:firstLineChars="198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培训班学习期满，完成教学计划规定的全部课程，由中国总会计师协会颁发《培训结业证书》。</w:t>
      </w:r>
    </w:p>
    <w:p>
      <w:pPr>
        <w:spacing w:line="460" w:lineRule="exact"/>
        <w:ind w:firstLine="601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七、联系方式</w:t>
      </w:r>
    </w:p>
    <w:p>
      <w:pPr>
        <w:snapToGrid w:val="0"/>
        <w:spacing w:line="460" w:lineRule="exact"/>
        <w:ind w:firstLine="31680" w:firstLineChars="198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电话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传真：</w:t>
      </w:r>
      <w:r>
        <w:rPr>
          <w:rFonts w:ascii="仿宋" w:hAnsi="仿宋" w:eastAsia="仿宋" w:cs="仿宋"/>
          <w:sz w:val="30"/>
          <w:szCs w:val="30"/>
        </w:rPr>
        <w:t>010-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63381780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邮箱：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lunwen@cmcfo.cn</w:t>
      </w:r>
    </w:p>
    <w:p>
      <w:pPr>
        <w:snapToGrid w:val="0"/>
        <w:spacing w:line="460" w:lineRule="exact"/>
        <w:ind w:firstLine="31680" w:firstLineChars="198"/>
        <w:rPr>
          <w:rFonts w:ascii="仿宋" w:hAnsi="仿宋" w:eastAsia="仿宋" w:cs="宋体"/>
          <w:bCs/>
          <w:kern w:val="0"/>
          <w:sz w:val="30"/>
          <w:szCs w:val="30"/>
        </w:rPr>
      </w:pPr>
    </w:p>
    <w:p>
      <w:pPr>
        <w:snapToGrid w:val="0"/>
        <w:spacing w:line="460" w:lineRule="exact"/>
        <w:ind w:firstLine="31680" w:firstLineChars="198"/>
        <w:rPr>
          <w:rFonts w:ascii="仿宋" w:hAnsi="仿宋" w:eastAsia="仿宋" w:cs="宋体"/>
          <w:bCs/>
          <w:kern w:val="0"/>
          <w:sz w:val="30"/>
          <w:szCs w:val="30"/>
        </w:rPr>
      </w:pPr>
    </w:p>
    <w:p>
      <w:pPr>
        <w:snapToGrid w:val="0"/>
        <w:spacing w:line="240" w:lineRule="auto"/>
        <w:ind w:firstLine="31680" w:firstLineChars="198"/>
        <w:rPr>
          <w:rFonts w:hint="eastAsia" w:ascii="仿宋" w:hAnsi="仿宋" w:eastAsia="仿宋" w:cs="宋体"/>
          <w:bCs/>
          <w:kern w:val="0"/>
          <w:sz w:val="30"/>
          <w:szCs w:val="30"/>
          <w:lang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华文宋体籠适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??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5199684">
    <w:nsid w:val="59B78644"/>
    <w:multiLevelType w:val="singleLevel"/>
    <w:tmpl w:val="59B78644"/>
    <w:lvl w:ilvl="0" w:tentative="1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5051996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name="header"/>
    <w:lsdException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nhideWhenUsed="0" w:uiPriority="99" w:semiHidden="0" w:name="Date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0" w:name="Document Map" w:locked="1"/>
    <w:lsdException w:unhideWhenUsed="0" w:uiPriority="99" w:semiHidden="0" w:name="Plain Text"/>
    <w:lsdException w:uiPriority="0" w:name="E-mail Signature" w:locked="1"/>
    <w:lsdException w:unhideWhenUsed="0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0" w:name="annotation subject" w:locked="1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9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8"/>
    <w:qFormat/>
    <w:uiPriority w:val="99"/>
    <w:pPr>
      <w:widowControl/>
      <w:spacing w:before="100" w:beforeAutospacing="1" w:after="100" w:afterAutospacing="1"/>
      <w:jc w:val="left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1"/>
    <w:next w:val="1"/>
    <w:link w:val="29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11">
    <w:name w:val="Default Paragraph Font"/>
    <w:semiHidden/>
    <w:uiPriority w:val="99"/>
  </w:style>
  <w:style w:type="paragraph" w:styleId="5">
    <w:name w:val="Plain Text"/>
    <w:basedOn w:val="1"/>
    <w:link w:val="45"/>
    <w:uiPriority w:val="99"/>
    <w:rPr>
      <w:rFonts w:ascii="宋体" w:hAnsi="Courier New"/>
      <w:kern w:val="0"/>
      <w:szCs w:val="20"/>
    </w:rPr>
  </w:style>
  <w:style w:type="paragraph" w:styleId="6">
    <w:name w:val="Date"/>
    <w:basedOn w:val="1"/>
    <w:next w:val="1"/>
    <w:link w:val="43"/>
    <w:uiPriority w:val="99"/>
    <w:pPr>
      <w:ind w:left="100" w:leftChars="2500"/>
    </w:pPr>
    <w:rPr>
      <w:kern w:val="0"/>
      <w:sz w:val="20"/>
      <w:szCs w:val="20"/>
    </w:rPr>
  </w:style>
  <w:style w:type="paragraph" w:styleId="7">
    <w:name w:val="Balloon Text"/>
    <w:basedOn w:val="1"/>
    <w:link w:val="44"/>
    <w:semiHidden/>
    <w:uiPriority w:val="99"/>
    <w:rPr>
      <w:kern w:val="0"/>
      <w:sz w:val="2"/>
      <w:szCs w:val="20"/>
    </w:rPr>
  </w:style>
  <w:style w:type="paragraph" w:styleId="8">
    <w:name w:val="footer"/>
    <w:basedOn w:val="1"/>
    <w:link w:val="4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9">
    <w:name w:val="header"/>
    <w:basedOn w:val="1"/>
    <w:link w:val="4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locked/>
    <w:uiPriority w:val="99"/>
    <w:rPr>
      <w:rFonts w:cs="Times New Roman"/>
      <w:b/>
    </w:rPr>
  </w:style>
  <w:style w:type="character" w:styleId="13">
    <w:name w:val="FollowedHyperlink"/>
    <w:basedOn w:val="11"/>
    <w:uiPriority w:val="99"/>
    <w:rPr>
      <w:rFonts w:cs="Times New Roman"/>
      <w:color w:val="5A5A5A"/>
      <w:u w:val="none"/>
    </w:rPr>
  </w:style>
  <w:style w:type="character" w:styleId="14">
    <w:name w:val="Emphasis"/>
    <w:basedOn w:val="11"/>
    <w:qFormat/>
    <w:locked/>
    <w:uiPriority w:val="99"/>
    <w:rPr>
      <w:rFonts w:cs="Times New Roman"/>
      <w:color w:val="5A5A5A"/>
      <w:sz w:val="18"/>
    </w:rPr>
  </w:style>
  <w:style w:type="character" w:styleId="15">
    <w:name w:val="Hyperlink"/>
    <w:basedOn w:val="11"/>
    <w:uiPriority w:val="99"/>
    <w:rPr>
      <w:rFonts w:cs="Times New Roman"/>
      <w:color w:val="0000FF"/>
      <w:u w:val="single"/>
    </w:rPr>
  </w:style>
  <w:style w:type="paragraph" w:customStyle="1" w:styleId="16">
    <w:name w:val="无间隔1"/>
    <w:basedOn w:val="1"/>
    <w:link w:val="38"/>
    <w:uiPriority w:val="99"/>
    <w:pPr>
      <w:widowControl/>
      <w:jc w:val="left"/>
    </w:pPr>
    <w:rPr>
      <w:rFonts w:ascii="Cambria" w:hAnsi="Cambria"/>
      <w:kern w:val="0"/>
      <w:sz w:val="22"/>
      <w:szCs w:val="20"/>
      <w:lang w:eastAsia="en-US"/>
    </w:rPr>
  </w:style>
  <w:style w:type="paragraph" w:customStyle="1" w:styleId="17">
    <w:name w:val="List Paragraph1"/>
    <w:basedOn w:val="1"/>
    <w:uiPriority w:val="99"/>
    <w:pPr>
      <w:ind w:firstLine="420" w:firstLineChars="200"/>
    </w:pPr>
  </w:style>
  <w:style w:type="paragraph" w:customStyle="1" w:styleId="18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List Paragraph2"/>
    <w:basedOn w:val="1"/>
    <w:uiPriority w:val="99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华文宋体籠适." w:hAnsi="华文宋体籠适." w:eastAsia="华文宋体籠适."/>
      <w:color w:val="000000"/>
      <w:kern w:val="0"/>
      <w:sz w:val="24"/>
      <w:szCs w:val="20"/>
    </w:rPr>
  </w:style>
  <w:style w:type="paragraph" w:customStyle="1" w:styleId="21">
    <w:name w:val="z-Top of Form1"/>
    <w:basedOn w:val="1"/>
    <w:next w:val="1"/>
    <w:link w:val="46"/>
    <w:locked/>
    <w:uiPriority w:val="99"/>
    <w:pPr>
      <w:widowControl/>
      <w:pBdr>
        <w:bottom w:val="single" w:color="auto" w:sz="6" w:space="1"/>
      </w:pBdr>
      <w:jc w:val="center"/>
    </w:pPr>
    <w:rPr>
      <w:rFonts w:ascii="Arial" w:hAnsi="Arial"/>
      <w:vanish/>
      <w:kern w:val="0"/>
      <w:sz w:val="16"/>
      <w:szCs w:val="20"/>
    </w:rPr>
  </w:style>
  <w:style w:type="paragraph" w:customStyle="1" w:styleId="22">
    <w:name w:val="z-Bottom of Form1"/>
    <w:basedOn w:val="1"/>
    <w:next w:val="1"/>
    <w:link w:val="47"/>
    <w:locked/>
    <w:uiPriority w:val="99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20"/>
    </w:rPr>
  </w:style>
  <w:style w:type="paragraph" w:customStyle="1" w:styleId="23">
    <w:name w:val="p3 mt2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mt p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padding2em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abstract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7">
    <w:name w:val="Heading 1 Char"/>
    <w:basedOn w:val="11"/>
    <w:link w:val="2"/>
    <w:locked/>
    <w:uiPriority w:val="99"/>
    <w:rPr>
      <w:rFonts w:cs="Times New Roman"/>
      <w:b/>
      <w:kern w:val="44"/>
      <w:sz w:val="44"/>
    </w:rPr>
  </w:style>
  <w:style w:type="character" w:customStyle="1" w:styleId="28">
    <w:name w:val="Heading 3 Char"/>
    <w:basedOn w:val="11"/>
    <w:link w:val="3"/>
    <w:semiHidden/>
    <w:locked/>
    <w:uiPriority w:val="99"/>
    <w:rPr>
      <w:rFonts w:cs="Times New Roman"/>
      <w:b/>
      <w:sz w:val="32"/>
    </w:rPr>
  </w:style>
  <w:style w:type="character" w:customStyle="1" w:styleId="29">
    <w:name w:val="Heading 4 Char"/>
    <w:basedOn w:val="11"/>
    <w:link w:val="4"/>
    <w:semiHidden/>
    <w:locked/>
    <w:uiPriority w:val="99"/>
    <w:rPr>
      <w:rFonts w:ascii="Cambria" w:hAnsi="Cambria" w:eastAsia="宋体" w:cs="Times New Roman"/>
      <w:b/>
      <w:sz w:val="28"/>
    </w:rPr>
  </w:style>
  <w:style w:type="character" w:customStyle="1" w:styleId="30">
    <w:name w:val="Plain Text Char"/>
    <w:basedOn w:val="11"/>
    <w:link w:val="5"/>
    <w:locked/>
    <w:uiPriority w:val="99"/>
    <w:rPr>
      <w:rFonts w:ascii="宋体" w:hAnsi="Courier New" w:cs="Times New Roman"/>
      <w:sz w:val="20"/>
    </w:rPr>
  </w:style>
  <w:style w:type="character" w:customStyle="1" w:styleId="31">
    <w:name w:val="Date Char"/>
    <w:basedOn w:val="11"/>
    <w:link w:val="6"/>
    <w:semiHidden/>
    <w:locked/>
    <w:uiPriority w:val="99"/>
    <w:rPr>
      <w:rFonts w:cs="Times New Roman"/>
    </w:rPr>
  </w:style>
  <w:style w:type="character" w:customStyle="1" w:styleId="32">
    <w:name w:val="Balloon Text Char"/>
    <w:basedOn w:val="11"/>
    <w:link w:val="7"/>
    <w:semiHidden/>
    <w:locked/>
    <w:uiPriority w:val="99"/>
    <w:rPr>
      <w:rFonts w:cs="Times New Roman"/>
      <w:sz w:val="18"/>
    </w:rPr>
  </w:style>
  <w:style w:type="character" w:customStyle="1" w:styleId="33">
    <w:name w:val="Footer Char"/>
    <w:basedOn w:val="11"/>
    <w:link w:val="8"/>
    <w:locked/>
    <w:uiPriority w:val="99"/>
    <w:rPr>
      <w:rFonts w:cs="Times New Roman"/>
      <w:sz w:val="18"/>
    </w:rPr>
  </w:style>
  <w:style w:type="character" w:customStyle="1" w:styleId="34">
    <w:name w:val="Header Char"/>
    <w:basedOn w:val="11"/>
    <w:link w:val="9"/>
    <w:semiHidden/>
    <w:locked/>
    <w:uiPriority w:val="99"/>
    <w:rPr>
      <w:rFonts w:cs="Times New Roman"/>
      <w:sz w:val="18"/>
    </w:rPr>
  </w:style>
  <w:style w:type="character" w:customStyle="1" w:styleId="35">
    <w:name w:val="jian"/>
    <w:uiPriority w:val="99"/>
  </w:style>
  <w:style w:type="character" w:customStyle="1" w:styleId="36">
    <w:name w:val="onmenu02"/>
    <w:uiPriority w:val="99"/>
    <w:rPr>
      <w:color w:val="D7D7D7"/>
    </w:rPr>
  </w:style>
  <w:style w:type="character" w:customStyle="1" w:styleId="37">
    <w:name w:val="apple-converted-space"/>
    <w:uiPriority w:val="99"/>
  </w:style>
  <w:style w:type="character" w:customStyle="1" w:styleId="38">
    <w:name w:val="无间隔 Char"/>
    <w:link w:val="16"/>
    <w:locked/>
    <w:uiPriority w:val="99"/>
    <w:rPr>
      <w:rFonts w:ascii="Cambria" w:hAnsi="Cambria" w:eastAsia="宋体"/>
      <w:sz w:val="22"/>
      <w:lang w:val="en-US" w:eastAsia="en-US"/>
    </w:rPr>
  </w:style>
  <w:style w:type="character" w:customStyle="1" w:styleId="39">
    <w:name w:val="fr"/>
    <w:uiPriority w:val="99"/>
  </w:style>
  <w:style w:type="character" w:customStyle="1" w:styleId="40">
    <w:name w:val="line2"/>
    <w:uiPriority w:val="99"/>
  </w:style>
  <w:style w:type="character" w:customStyle="1" w:styleId="41">
    <w:name w:val="Footer Char1"/>
    <w:link w:val="8"/>
    <w:semiHidden/>
    <w:locked/>
    <w:uiPriority w:val="99"/>
    <w:rPr>
      <w:sz w:val="18"/>
    </w:rPr>
  </w:style>
  <w:style w:type="character" w:customStyle="1" w:styleId="42">
    <w:name w:val="Header Char1"/>
    <w:link w:val="9"/>
    <w:semiHidden/>
    <w:locked/>
    <w:uiPriority w:val="99"/>
    <w:rPr>
      <w:sz w:val="18"/>
    </w:rPr>
  </w:style>
  <w:style w:type="character" w:customStyle="1" w:styleId="43">
    <w:name w:val="Date Char1"/>
    <w:link w:val="6"/>
    <w:semiHidden/>
    <w:locked/>
    <w:uiPriority w:val="99"/>
  </w:style>
  <w:style w:type="character" w:customStyle="1" w:styleId="44">
    <w:name w:val="Balloon Text Char1"/>
    <w:link w:val="7"/>
    <w:semiHidden/>
    <w:locked/>
    <w:uiPriority w:val="99"/>
    <w:rPr>
      <w:sz w:val="2"/>
    </w:rPr>
  </w:style>
  <w:style w:type="character" w:customStyle="1" w:styleId="45">
    <w:name w:val="Plain Text Char1"/>
    <w:link w:val="5"/>
    <w:semiHidden/>
    <w:locked/>
    <w:uiPriority w:val="99"/>
    <w:rPr>
      <w:rFonts w:ascii="宋体" w:hAnsi="Courier New"/>
      <w:sz w:val="21"/>
    </w:rPr>
  </w:style>
  <w:style w:type="character" w:customStyle="1" w:styleId="46">
    <w:name w:val="z-Top of Form Char"/>
    <w:link w:val="21"/>
    <w:semiHidden/>
    <w:locked/>
    <w:uiPriority w:val="99"/>
    <w:rPr>
      <w:rFonts w:ascii="Arial" w:hAnsi="Arial"/>
      <w:vanish/>
      <w:sz w:val="16"/>
    </w:rPr>
  </w:style>
  <w:style w:type="character" w:customStyle="1" w:styleId="47">
    <w:name w:val="z-Bottom of Form Char"/>
    <w:link w:val="22"/>
    <w:semiHidden/>
    <w:locked/>
    <w:uiPriority w:val="99"/>
    <w:rPr>
      <w:rFonts w:ascii="Arial" w:hAns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4</Pages>
  <Words>212</Words>
  <Characters>1276</Characters>
  <Lines>0</Lines>
  <Paragraphs>0</Paragraphs>
  <ScaleCrop>false</ScaleCrop>
  <LinksUpToDate>false</LinksUpToDate>
  <CharactersWithSpaces>0</CharactersWithSpaces>
  <Application>WPS Office 个人版_9.1.0.4429_{F1E327BC-269C-435d-A152-05C5408002CA}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2016-02-01T02:15:00Z</dcterms:created>
  <dc:creator>User</dc:creator>
  <cp:lastModifiedBy>Administrator</cp:lastModifiedBy>
  <cp:lastPrinted>2017-09-18T03:36:00Z</cp:lastPrinted>
  <dcterms:modified xsi:type="dcterms:W3CDTF">2017-09-27T08:56:43Z</dcterms:modified>
  <dc:title>中总协〔2014〕22 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